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05" w:rsidRPr="00C65F05" w:rsidRDefault="00D61256" w:rsidP="00C65F05">
      <w:pPr>
        <w:spacing w:before="100" w:beforeAutospacing="1" w:after="100" w:afterAutospacing="1"/>
        <w:rPr>
          <w:rFonts w:asciiTheme="majorHAnsi" w:eastAsia="Times New Roman" w:hAnsiTheme="majorHAnsi" w:cs="Times New Roman"/>
          <w:b/>
          <w:bCs/>
          <w:kern w:val="0"/>
          <w:sz w:val="19"/>
          <w:szCs w:val="19"/>
        </w:rPr>
      </w:pPr>
      <w:r>
        <w:rPr>
          <w:rFonts w:asciiTheme="majorHAnsi" w:eastAsia="Times New Roman" w:hAnsiTheme="majorHAnsi" w:cs="Times New Roman"/>
          <w:b/>
          <w:bCs/>
          <w:kern w:val="0"/>
          <w:sz w:val="19"/>
          <w:szCs w:val="19"/>
        </w:rPr>
        <w:t>ec2888r / SBBI Special Meeting</w:t>
      </w:r>
      <w:bookmarkStart w:id="0" w:name="_GoBack"/>
      <w:bookmarkEnd w:id="0"/>
      <w:r w:rsidR="00C65F05" w:rsidRPr="00C65F05">
        <w:rPr>
          <w:rFonts w:asciiTheme="majorHAnsi" w:eastAsia="Times New Roman" w:hAnsiTheme="majorHAnsi" w:cs="Times New Roman"/>
          <w:b/>
          <w:bCs/>
          <w:kern w:val="0"/>
          <w:sz w:val="19"/>
          <w:szCs w:val="19"/>
        </w:rPr>
        <w:t xml:space="preserve">:  </w:t>
      </w:r>
      <w:r w:rsidR="00C65F05" w:rsidRPr="00C65F05">
        <w:rPr>
          <w:rFonts w:asciiTheme="majorHAnsi" w:eastAsia="Times New Roman" w:hAnsiTheme="majorHAnsi" w:cs="Times New Roman"/>
          <w:b/>
          <w:bCs/>
          <w:kern w:val="0"/>
          <w:sz w:val="19"/>
          <w:szCs w:val="19"/>
          <w:u w:val="single"/>
        </w:rPr>
        <w:t>Thursday October 6 @ 3:30pm</w:t>
      </w:r>
      <w:r w:rsidR="00C65F05" w:rsidRPr="00C65F05">
        <w:rPr>
          <w:rFonts w:asciiTheme="majorHAnsi" w:eastAsia="Times New Roman" w:hAnsiTheme="majorHAnsi" w:cs="Times New Roman"/>
          <w:b/>
          <w:bCs/>
          <w:kern w:val="0"/>
          <w:sz w:val="19"/>
          <w:szCs w:val="19"/>
        </w:rPr>
        <w:t xml:space="preserve">, NBER, 1050 Mass.Ave, third floor </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 xml:space="preserve">Katy Börner </w:t>
      </w:r>
      <w:r>
        <w:rPr>
          <w:rFonts w:asciiTheme="majorHAnsi" w:eastAsia="Times New Roman" w:hAnsiTheme="majorHAnsi" w:cs="Times New Roman"/>
          <w:kern w:val="0"/>
          <w:sz w:val="19"/>
          <w:szCs w:val="19"/>
        </w:rPr>
        <w:br/>
      </w:r>
      <w:r w:rsidRPr="00C65F05">
        <w:rPr>
          <w:rFonts w:asciiTheme="majorHAnsi" w:eastAsia="Times New Roman" w:hAnsiTheme="majorHAnsi" w:cs="Times New Roman"/>
          <w:b/>
          <w:bCs/>
          <w:kern w:val="0"/>
          <w:sz w:val="19"/>
          <w:szCs w:val="19"/>
        </w:rPr>
        <w:t xml:space="preserve">Modelling Science, Technology, and Innovation: Key Challenges and Opportunities </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 xml:space="preserve">The Conference on "Modelling Science, Technology, and Innovation (ModSTI)" held in May 2016 at NAS identified key challenges and opportunities regarding the usage of mathematical, statistical, and computational models of STI; see details at </w:t>
      </w:r>
      <w:hyperlink r:id="rId5" w:tgtFrame="_blank" w:history="1">
        <w:r w:rsidRPr="00C65F05">
          <w:rPr>
            <w:rFonts w:asciiTheme="majorHAnsi" w:eastAsia="Times New Roman" w:hAnsiTheme="majorHAnsi" w:cs="Times New Roman"/>
            <w:color w:val="0000FF"/>
            <w:kern w:val="0"/>
            <w:sz w:val="19"/>
            <w:szCs w:val="19"/>
            <w:u w:val="single"/>
          </w:rPr>
          <w:t>http://modsti.cns.iu.edu</w:t>
        </w:r>
      </w:hyperlink>
      <w:r w:rsidRPr="00C65F05">
        <w:rPr>
          <w:rFonts w:asciiTheme="majorHAnsi" w:eastAsia="Times New Roman" w:hAnsiTheme="majorHAnsi" w:cs="Times New Roman"/>
          <w:kern w:val="0"/>
          <w:sz w:val="19"/>
          <w:szCs w:val="19"/>
        </w:rPr>
        <w:t xml:space="preserve"> and summary below.  </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This talk will present and invite a discussion of promis</w:t>
      </w:r>
      <w:r>
        <w:rPr>
          <w:rFonts w:asciiTheme="majorHAnsi" w:eastAsia="Times New Roman" w:hAnsiTheme="majorHAnsi" w:cs="Times New Roman"/>
          <w:kern w:val="0"/>
          <w:sz w:val="19"/>
          <w:szCs w:val="19"/>
        </w:rPr>
        <w:t>ing avenues of ModSTI research</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b/>
          <w:bCs/>
          <w:kern w:val="0"/>
          <w:sz w:val="19"/>
          <w:szCs w:val="19"/>
        </w:rPr>
        <w:t>Executive Summary</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b/>
          <w:bCs/>
          <w:kern w:val="0"/>
          <w:sz w:val="19"/>
          <w:szCs w:val="19"/>
          <w:u w:val="single"/>
        </w:rPr>
        <w:t>Challenges</w:t>
      </w:r>
      <w:r w:rsidRPr="00C65F05">
        <w:rPr>
          <w:rFonts w:asciiTheme="majorHAnsi" w:eastAsia="Times New Roman" w:hAnsiTheme="majorHAnsi" w:cs="Times New Roman"/>
          <w:kern w:val="0"/>
          <w:sz w:val="19"/>
          <w:szCs w:val="19"/>
        </w:rPr>
        <w:t xml:space="preserve"> exist in five areas: </w:t>
      </w:r>
      <w:r w:rsidRPr="00C65F05">
        <w:rPr>
          <w:rFonts w:asciiTheme="majorHAnsi" w:eastAsia="Times New Roman" w:hAnsiTheme="majorHAnsi" w:cs="Times New Roman"/>
          <w:b/>
          <w:bCs/>
          <w:kern w:val="0"/>
          <w:sz w:val="19"/>
          <w:szCs w:val="19"/>
        </w:rPr>
        <w:t>(1) Fundamental Research:</w:t>
      </w:r>
      <w:r w:rsidRPr="00C65F05">
        <w:rPr>
          <w:rFonts w:asciiTheme="majorHAnsi" w:eastAsia="Times New Roman" w:hAnsiTheme="majorHAnsi" w:cs="Times New Roman"/>
          <w:kern w:val="0"/>
          <w:sz w:val="19"/>
          <w:szCs w:val="19"/>
        </w:rPr>
        <w:t xml:space="preserve"> Few models are validated using empirical data.  STI success criteria are not clearly defined, e.g., when is science successful? Few agencies support STI modelling efforts. Federating and cleaning existing open or proprietary data requires resources. </w:t>
      </w:r>
      <w:r w:rsidRPr="00C65F05">
        <w:rPr>
          <w:rFonts w:asciiTheme="majorHAnsi" w:eastAsia="Times New Roman" w:hAnsiTheme="majorHAnsi" w:cs="Times New Roman"/>
          <w:b/>
          <w:bCs/>
          <w:kern w:val="0"/>
          <w:sz w:val="19"/>
          <w:szCs w:val="19"/>
        </w:rPr>
        <w:t>(2) Applied Research:</w:t>
      </w:r>
      <w:r w:rsidRPr="00C65F05">
        <w:rPr>
          <w:rFonts w:asciiTheme="majorHAnsi" w:eastAsia="Times New Roman" w:hAnsiTheme="majorHAnsi" w:cs="Times New Roman"/>
          <w:kern w:val="0"/>
          <w:sz w:val="19"/>
          <w:szCs w:val="19"/>
        </w:rPr>
        <w:t xml:space="preserve"> Most scholars design models to publish; few build policy-relevant models.  Most policy makers do not engage in modeling efforts yet their expert input is needed to design models that make a difference. Few models are production-strength, i.e., validated, well documented, 24/7 service. Few active partnerships among academia, government, and industry exist. </w:t>
      </w:r>
      <w:r w:rsidRPr="00C65F05">
        <w:rPr>
          <w:rFonts w:asciiTheme="majorHAnsi" w:eastAsia="Times New Roman" w:hAnsiTheme="majorHAnsi" w:cs="Times New Roman"/>
          <w:b/>
          <w:bCs/>
          <w:kern w:val="0"/>
          <w:sz w:val="19"/>
          <w:szCs w:val="19"/>
        </w:rPr>
        <w:t>(3) Cyberinfrastructure:</w:t>
      </w:r>
      <w:r w:rsidRPr="00C65F05">
        <w:rPr>
          <w:rFonts w:asciiTheme="majorHAnsi" w:eastAsia="Times New Roman" w:hAnsiTheme="majorHAnsi" w:cs="Times New Roman"/>
          <w:kern w:val="0"/>
          <w:sz w:val="19"/>
          <w:szCs w:val="19"/>
        </w:rPr>
        <w:t xml:space="preserve"> Unconnected silos of data and code repositories exist in different areas of science. Scholarly results are published in many different journals and are hard to find. Few special issues, reviews, general textbooks exist.  ModSTI scholars and practitioners attend many different conferences, might not know about each other. </w:t>
      </w:r>
      <w:r w:rsidRPr="00C65F05">
        <w:rPr>
          <w:rFonts w:asciiTheme="majorHAnsi" w:eastAsia="Times New Roman" w:hAnsiTheme="majorHAnsi" w:cs="Times New Roman"/>
          <w:b/>
          <w:bCs/>
          <w:kern w:val="0"/>
          <w:sz w:val="19"/>
          <w:szCs w:val="19"/>
        </w:rPr>
        <w:t>(4) Education:</w:t>
      </w:r>
      <w:r w:rsidRPr="00C65F05">
        <w:rPr>
          <w:rFonts w:asciiTheme="majorHAnsi" w:eastAsia="Times New Roman" w:hAnsiTheme="majorHAnsi" w:cs="Times New Roman"/>
          <w:kern w:val="0"/>
          <w:sz w:val="19"/>
          <w:szCs w:val="19"/>
        </w:rPr>
        <w:t xml:space="preserve"> There is a need for improved “model literacy” via formal and informal education combined with more effective communication by researchers on the power of models. A community of teachers/students that share data, code, results, training materials, etc. is missing. </w:t>
      </w:r>
      <w:r w:rsidRPr="00C65F05">
        <w:rPr>
          <w:rFonts w:asciiTheme="majorHAnsi" w:eastAsia="Times New Roman" w:hAnsiTheme="majorHAnsi" w:cs="Times New Roman"/>
          <w:b/>
          <w:bCs/>
          <w:kern w:val="0"/>
          <w:sz w:val="19"/>
          <w:szCs w:val="19"/>
        </w:rPr>
        <w:t>(5) Outreach:</w:t>
      </w:r>
      <w:r w:rsidRPr="00C65F05">
        <w:rPr>
          <w:rFonts w:asciiTheme="majorHAnsi" w:eastAsia="Times New Roman" w:hAnsiTheme="majorHAnsi" w:cs="Times New Roman"/>
          <w:kern w:val="0"/>
          <w:sz w:val="19"/>
          <w:szCs w:val="19"/>
        </w:rPr>
        <w:t xml:space="preserve"> Engagement with the public is very important. Scientists need to be more actively involved in communicating with the public and engaging with other communities.</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b/>
          <w:bCs/>
          <w:kern w:val="0"/>
          <w:sz w:val="19"/>
          <w:szCs w:val="19"/>
          <w:u w:val="single"/>
        </w:rPr>
        <w:t>Insights and opportunities</w:t>
      </w:r>
      <w:r w:rsidRPr="00C65F05">
        <w:rPr>
          <w:rFonts w:asciiTheme="majorHAnsi" w:eastAsia="Times New Roman" w:hAnsiTheme="majorHAnsi" w:cs="Times New Roman"/>
          <w:kern w:val="0"/>
          <w:sz w:val="19"/>
          <w:szCs w:val="19"/>
        </w:rPr>
        <w:t xml:space="preserve"> can be grouped into five areas: </w:t>
      </w:r>
      <w:r w:rsidRPr="00C65F05">
        <w:rPr>
          <w:rFonts w:asciiTheme="majorHAnsi" w:eastAsia="Times New Roman" w:hAnsiTheme="majorHAnsi" w:cs="Times New Roman"/>
          <w:b/>
          <w:bCs/>
          <w:kern w:val="0"/>
          <w:sz w:val="19"/>
          <w:szCs w:val="19"/>
        </w:rPr>
        <w:t>(1) Model Needs and Implementation:</w:t>
      </w:r>
      <w:r w:rsidRPr="00C65F05">
        <w:rPr>
          <w:rFonts w:asciiTheme="majorHAnsi" w:eastAsia="Times New Roman" w:hAnsiTheme="majorHAnsi" w:cs="Times New Roman"/>
          <w:kern w:val="0"/>
          <w:sz w:val="19"/>
          <w:szCs w:val="19"/>
        </w:rPr>
        <w:t xml:space="preserve"> Successful modeling teams require close collaboration and active partnership between (policy) decision makers and researchers to ensure the usefulness of the models and increase the chances for their adoption. Predictive models require testing, iterative improvements, and a community of users. Models can be used in “evaluation” exercises but are even more valuable when used in support of “situational awareness, proactive steering”. There is a need to identify and call out bad models, since their existence and wide dissemination can harm the reputation of modeling efforts in general. </w:t>
      </w:r>
      <w:r w:rsidRPr="00C65F05">
        <w:rPr>
          <w:rFonts w:asciiTheme="majorHAnsi" w:eastAsia="Times New Roman" w:hAnsiTheme="majorHAnsi" w:cs="Times New Roman"/>
          <w:b/>
          <w:bCs/>
          <w:kern w:val="0"/>
          <w:sz w:val="19"/>
          <w:szCs w:val="19"/>
        </w:rPr>
        <w:t>(2) Data Infrastructure:</w:t>
      </w:r>
      <w:r w:rsidRPr="00C65F05">
        <w:rPr>
          <w:rFonts w:asciiTheme="majorHAnsi" w:eastAsia="Times New Roman" w:hAnsiTheme="majorHAnsi" w:cs="Times New Roman"/>
          <w:kern w:val="0"/>
          <w:sz w:val="19"/>
          <w:szCs w:val="19"/>
        </w:rPr>
        <w:t xml:space="preserve"> Data quality, coverage, and richness are improving rapidly and support the design and validation of detailed models. Many teams are spending 80% of overall STI modeling effort on data preparation. The setup of data repositories should be explored to increase the amount of time available for model development. Easy access to relevant data will support reproducibility.  As many high-quality datasets are held by industry or government, close academia-industry-government partnerships seem desirable. </w:t>
      </w:r>
      <w:r w:rsidRPr="00C65F05">
        <w:rPr>
          <w:rFonts w:asciiTheme="majorHAnsi" w:eastAsia="Times New Roman" w:hAnsiTheme="majorHAnsi" w:cs="Times New Roman"/>
          <w:b/>
          <w:bCs/>
          <w:kern w:val="0"/>
          <w:sz w:val="19"/>
          <w:szCs w:val="19"/>
        </w:rPr>
        <w:t>(3) Code Repository</w:t>
      </w:r>
      <w:r w:rsidRPr="00C65F05">
        <w:rPr>
          <w:rFonts w:asciiTheme="majorHAnsi" w:eastAsia="Times New Roman" w:hAnsiTheme="majorHAnsi" w:cs="Times New Roman"/>
          <w:kern w:val="0"/>
          <w:sz w:val="19"/>
          <w:szCs w:val="19"/>
        </w:rPr>
        <w:t xml:space="preserve"> </w:t>
      </w:r>
      <w:r w:rsidRPr="00C65F05">
        <w:rPr>
          <w:rFonts w:asciiTheme="majorHAnsi" w:eastAsia="Times New Roman" w:hAnsiTheme="majorHAnsi" w:cs="Times New Roman"/>
          <w:b/>
          <w:bCs/>
          <w:kern w:val="0"/>
          <w:sz w:val="19"/>
          <w:szCs w:val="19"/>
        </w:rPr>
        <w:t>and Standards:</w:t>
      </w:r>
      <w:r w:rsidRPr="00C65F05">
        <w:rPr>
          <w:rFonts w:asciiTheme="majorHAnsi" w:eastAsia="Times New Roman" w:hAnsiTheme="majorHAnsi" w:cs="Times New Roman"/>
          <w:kern w:val="0"/>
          <w:sz w:val="19"/>
          <w:szCs w:val="19"/>
        </w:rPr>
        <w:t xml:space="preserve"> Well-documented tools are needed that allow decision makers to run their own models. Models need to be reliable and results have to be reproducible. STI modeling community should aim to adopt modeling guidelines and standards and aim to create a shared data and model code infrastructure. </w:t>
      </w:r>
      <w:r w:rsidRPr="00C65F05">
        <w:rPr>
          <w:rFonts w:asciiTheme="majorHAnsi" w:eastAsia="Times New Roman" w:hAnsiTheme="majorHAnsi" w:cs="Times New Roman"/>
          <w:b/>
          <w:bCs/>
          <w:kern w:val="0"/>
          <w:sz w:val="19"/>
          <w:szCs w:val="19"/>
        </w:rPr>
        <w:t>(4) Visualization and Communication of Modeling Results:</w:t>
      </w:r>
      <w:r w:rsidRPr="00C65F05">
        <w:rPr>
          <w:rFonts w:asciiTheme="majorHAnsi" w:eastAsia="Times New Roman" w:hAnsiTheme="majorHAnsi" w:cs="Times New Roman"/>
          <w:kern w:val="0"/>
          <w:sz w:val="19"/>
          <w:szCs w:val="19"/>
        </w:rPr>
        <w:t xml:space="preserve"> It is important to communicate data quality, model complexity, and modeling results clearly to different stakeholders.  Telling visual stories, augmented with high quality data is powerful. More advanced visualizations of model results can be used to have decision makers “fly the future” before writing a check. </w:t>
      </w:r>
      <w:r w:rsidRPr="00C65F05">
        <w:rPr>
          <w:rFonts w:asciiTheme="majorHAnsi" w:eastAsia="Times New Roman" w:hAnsiTheme="majorHAnsi" w:cs="Times New Roman"/>
          <w:b/>
          <w:bCs/>
          <w:kern w:val="0"/>
          <w:sz w:val="19"/>
          <w:szCs w:val="19"/>
        </w:rPr>
        <w:t>(5) Funding:</w:t>
      </w:r>
      <w:r w:rsidRPr="00C65F05">
        <w:rPr>
          <w:rFonts w:asciiTheme="majorHAnsi" w:eastAsia="Times New Roman" w:hAnsiTheme="majorHAnsi" w:cs="Times New Roman"/>
          <w:kern w:val="0"/>
          <w:sz w:val="19"/>
          <w:szCs w:val="19"/>
        </w:rPr>
        <w:t xml:space="preserve"> Modelling needs increase with reduction of budgets, significant increase in the number of researchers, exponential growth of scientific productivity, larger team sizes, and higher interdisciplinarity. While few agencies and organizations have active funding programs on STI models, modeling of STI programs might be supported analogous to STI program evaluation.</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b/>
          <w:bCs/>
          <w:kern w:val="0"/>
          <w:sz w:val="19"/>
          <w:szCs w:val="19"/>
        </w:rPr>
        <w:t>Full report: </w:t>
      </w:r>
      <w:r w:rsidRPr="00C65F05">
        <w:rPr>
          <w:rFonts w:asciiTheme="majorHAnsi" w:eastAsia="Times New Roman" w:hAnsiTheme="majorHAnsi" w:cs="Times New Roman"/>
          <w:kern w:val="0"/>
          <w:sz w:val="19"/>
          <w:szCs w:val="19"/>
        </w:rPr>
        <w:t xml:space="preserve"> Katy Börner and Staša Milojević (Eds.) (2016) </w:t>
      </w:r>
      <w:hyperlink r:id="rId6" w:tgtFrame="_blank" w:history="1">
        <w:r w:rsidRPr="00C65F05">
          <w:rPr>
            <w:rFonts w:asciiTheme="majorHAnsi" w:eastAsia="Times New Roman" w:hAnsiTheme="majorHAnsi" w:cs="Times New Roman"/>
            <w:color w:val="0000FF"/>
            <w:kern w:val="0"/>
            <w:sz w:val="19"/>
            <w:szCs w:val="19"/>
            <w:u w:val="single"/>
          </w:rPr>
          <w:t>Modeling Science, Technology and Innovation</w:t>
        </w:r>
      </w:hyperlink>
      <w:r w:rsidRPr="00C65F05">
        <w:rPr>
          <w:rFonts w:asciiTheme="majorHAnsi" w:eastAsia="Times New Roman" w:hAnsiTheme="majorHAnsi" w:cs="Times New Roman"/>
          <w:kern w:val="0"/>
          <w:sz w:val="19"/>
          <w:szCs w:val="19"/>
        </w:rPr>
        <w:t>. NSF Conference Report, Indiana University.</w:t>
      </w:r>
    </w:p>
    <w:p w:rsidR="00C65F05" w:rsidRPr="00C65F05" w:rsidRDefault="00C65F05" w:rsidP="00C65F05">
      <w:p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b/>
          <w:bCs/>
          <w:kern w:val="0"/>
          <w:sz w:val="19"/>
          <w:szCs w:val="19"/>
        </w:rPr>
        <w:t xml:space="preserve">Bio: </w:t>
      </w:r>
      <w:r w:rsidRPr="00C65F05">
        <w:rPr>
          <w:rFonts w:asciiTheme="majorHAnsi" w:eastAsia="Times New Roman" w:hAnsiTheme="majorHAnsi" w:cs="Times New Roman"/>
          <w:kern w:val="0"/>
          <w:sz w:val="19"/>
          <w:szCs w:val="19"/>
        </w:rPr>
        <w:t xml:space="preserve">Katy Börner is the Victor H. Yngve Distinguished Professor of Information Science in the </w:t>
      </w:r>
      <w:hyperlink r:id="rId7" w:tgtFrame="_blank" w:history="1">
        <w:r w:rsidRPr="00C65F05">
          <w:rPr>
            <w:rFonts w:asciiTheme="majorHAnsi" w:eastAsia="Times New Roman" w:hAnsiTheme="majorHAnsi" w:cs="Times New Roman"/>
            <w:color w:val="0000FF"/>
            <w:kern w:val="0"/>
            <w:sz w:val="19"/>
            <w:szCs w:val="19"/>
            <w:u w:val="single"/>
          </w:rPr>
          <w:t>Department of Information and Library Science</w:t>
        </w:r>
      </w:hyperlink>
      <w:r w:rsidRPr="00C65F05">
        <w:rPr>
          <w:rFonts w:asciiTheme="majorHAnsi" w:eastAsia="Times New Roman" w:hAnsiTheme="majorHAnsi" w:cs="Times New Roman"/>
          <w:kern w:val="0"/>
          <w:sz w:val="19"/>
          <w:szCs w:val="19"/>
        </w:rPr>
        <w:t xml:space="preserve">, </w:t>
      </w:r>
      <w:hyperlink r:id="rId8" w:tgtFrame="_blank" w:history="1">
        <w:r w:rsidRPr="00C65F05">
          <w:rPr>
            <w:rFonts w:asciiTheme="majorHAnsi" w:eastAsia="Times New Roman" w:hAnsiTheme="majorHAnsi" w:cs="Times New Roman"/>
            <w:color w:val="0000FF"/>
            <w:kern w:val="0"/>
            <w:sz w:val="19"/>
            <w:szCs w:val="19"/>
            <w:u w:val="single"/>
          </w:rPr>
          <w:t>School of Informatics and Computing</w:t>
        </w:r>
      </w:hyperlink>
      <w:r w:rsidRPr="00C65F05">
        <w:rPr>
          <w:rFonts w:asciiTheme="majorHAnsi" w:eastAsia="Times New Roman" w:hAnsiTheme="majorHAnsi" w:cs="Times New Roman"/>
          <w:kern w:val="0"/>
          <w:sz w:val="19"/>
          <w:szCs w:val="19"/>
        </w:rPr>
        <w:t xml:space="preserve">, Adjunct Professor at the Department of Statistics in the College of Arts and Sciences, Core Faculty of </w:t>
      </w:r>
      <w:hyperlink r:id="rId9" w:tgtFrame="_blank" w:history="1">
        <w:r w:rsidRPr="00C65F05">
          <w:rPr>
            <w:rFonts w:asciiTheme="majorHAnsi" w:eastAsia="Times New Roman" w:hAnsiTheme="majorHAnsi" w:cs="Times New Roman"/>
            <w:color w:val="0000FF"/>
            <w:kern w:val="0"/>
            <w:sz w:val="19"/>
            <w:szCs w:val="19"/>
            <w:u w:val="single"/>
          </w:rPr>
          <w:t>Cognitive Science</w:t>
        </w:r>
      </w:hyperlink>
      <w:r w:rsidRPr="00C65F05">
        <w:rPr>
          <w:rFonts w:asciiTheme="majorHAnsi" w:eastAsia="Times New Roman" w:hAnsiTheme="majorHAnsi" w:cs="Times New Roman"/>
          <w:kern w:val="0"/>
          <w:sz w:val="19"/>
          <w:szCs w:val="19"/>
        </w:rPr>
        <w:t xml:space="preserve">, Founding Director of the </w:t>
      </w:r>
      <w:hyperlink r:id="rId10" w:tgtFrame="_blank" w:history="1">
        <w:r w:rsidRPr="00C65F05">
          <w:rPr>
            <w:rFonts w:asciiTheme="majorHAnsi" w:eastAsia="Times New Roman" w:hAnsiTheme="majorHAnsi" w:cs="Times New Roman"/>
            <w:color w:val="0000FF"/>
            <w:kern w:val="0"/>
            <w:sz w:val="19"/>
            <w:szCs w:val="19"/>
            <w:u w:val="single"/>
          </w:rPr>
          <w:t xml:space="preserve">Cyberinfrastructure for Network Science Center </w:t>
        </w:r>
      </w:hyperlink>
      <w:r w:rsidRPr="00C65F05">
        <w:rPr>
          <w:rFonts w:asciiTheme="majorHAnsi" w:eastAsia="Times New Roman" w:hAnsiTheme="majorHAnsi" w:cs="Times New Roman"/>
          <w:kern w:val="0"/>
          <w:sz w:val="19"/>
          <w:szCs w:val="19"/>
        </w:rPr>
        <w:t xml:space="preserve">at Indiana University in Bloomington, IN and Visiting Professor at the Royal Netherlands Academy of Arts and Sciences (KNAW) in The Netherlands. She is a curator of the international </w:t>
      </w:r>
      <w:hyperlink r:id="rId11" w:tgtFrame="_blank" w:history="1">
        <w:r w:rsidRPr="00C65F05">
          <w:rPr>
            <w:rFonts w:asciiTheme="majorHAnsi" w:eastAsia="Times New Roman" w:hAnsiTheme="majorHAnsi" w:cs="Times New Roman"/>
            <w:color w:val="0000FF"/>
            <w:kern w:val="0"/>
            <w:sz w:val="19"/>
            <w:szCs w:val="19"/>
            <w:u w:val="single"/>
          </w:rPr>
          <w:t>Places &amp; Spaces: Mapping Science</w:t>
        </w:r>
      </w:hyperlink>
      <w:r w:rsidRPr="00C65F05">
        <w:rPr>
          <w:rFonts w:asciiTheme="majorHAnsi" w:eastAsia="Times New Roman" w:hAnsiTheme="majorHAnsi" w:cs="Times New Roman"/>
          <w:kern w:val="0"/>
          <w:sz w:val="19"/>
          <w:szCs w:val="19"/>
        </w:rPr>
        <w:t xml:space="preserve"> exhibit. She holds a MS in Electrical Engineering from the University of Technology in Leipzig, 1991 and a Ph.D. in Computer Science from the University of Kaiserslautern, 1997. She became an American Association for the Advancement of Science (AAAS) Fellow in 2012. She is the author of</w:t>
      </w:r>
    </w:p>
    <w:p w:rsidR="00C65F05" w:rsidRPr="00C65F05" w:rsidRDefault="00C65F05" w:rsidP="00C65F05">
      <w:pPr>
        <w:numPr>
          <w:ilvl w:val="0"/>
          <w:numId w:val="1"/>
        </w:num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 xml:space="preserve">Börner, Katy. 2015. </w:t>
      </w:r>
      <w:hyperlink r:id="rId12" w:tgtFrame="_blank" w:history="1">
        <w:r w:rsidRPr="00C65F05">
          <w:rPr>
            <w:rFonts w:asciiTheme="majorHAnsi" w:eastAsia="Times New Roman" w:hAnsiTheme="majorHAnsi" w:cs="Times New Roman"/>
            <w:i/>
            <w:iCs/>
            <w:color w:val="0000FF"/>
            <w:kern w:val="0"/>
            <w:sz w:val="19"/>
            <w:szCs w:val="19"/>
            <w:u w:val="single"/>
          </w:rPr>
          <w:t>Atlas of Knowledge: Anyone Can Map</w:t>
        </w:r>
      </w:hyperlink>
      <w:r w:rsidRPr="00C65F05">
        <w:rPr>
          <w:rFonts w:asciiTheme="majorHAnsi" w:eastAsia="Times New Roman" w:hAnsiTheme="majorHAnsi" w:cs="Times New Roman"/>
          <w:kern w:val="0"/>
          <w:sz w:val="19"/>
          <w:szCs w:val="19"/>
        </w:rPr>
        <w:t>. Cambridge, MA: The MIT Press.</w:t>
      </w:r>
    </w:p>
    <w:p w:rsidR="00C65F05" w:rsidRPr="00C65F05" w:rsidRDefault="00C65F05" w:rsidP="00C65F05">
      <w:pPr>
        <w:numPr>
          <w:ilvl w:val="0"/>
          <w:numId w:val="1"/>
        </w:num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 xml:space="preserve">Börner, Katy, and David E. Polley. 2014. </w:t>
      </w:r>
      <w:hyperlink r:id="rId13" w:tgtFrame="_blank" w:history="1">
        <w:r w:rsidRPr="00C65F05">
          <w:rPr>
            <w:rFonts w:asciiTheme="majorHAnsi" w:eastAsia="Times New Roman" w:hAnsiTheme="majorHAnsi" w:cs="Times New Roman"/>
            <w:i/>
            <w:iCs/>
            <w:color w:val="0000FF"/>
            <w:kern w:val="0"/>
            <w:sz w:val="19"/>
            <w:szCs w:val="19"/>
            <w:u w:val="single"/>
          </w:rPr>
          <w:t>Visual Insights: A Practical Guide to Making Sense of Data</w:t>
        </w:r>
      </w:hyperlink>
      <w:r w:rsidRPr="00C65F05">
        <w:rPr>
          <w:rFonts w:asciiTheme="majorHAnsi" w:eastAsia="Times New Roman" w:hAnsiTheme="majorHAnsi" w:cs="Times New Roman"/>
          <w:kern w:val="0"/>
          <w:sz w:val="19"/>
          <w:szCs w:val="19"/>
        </w:rPr>
        <w:t>. Cambridge, MA: The MIT Press.</w:t>
      </w:r>
    </w:p>
    <w:p w:rsidR="00C65F05" w:rsidRPr="00C65F05" w:rsidRDefault="00C65F05" w:rsidP="00C65F05">
      <w:pPr>
        <w:numPr>
          <w:ilvl w:val="0"/>
          <w:numId w:val="1"/>
        </w:numPr>
        <w:spacing w:before="100" w:beforeAutospacing="1" w:after="100" w:afterAutospacing="1"/>
        <w:rPr>
          <w:rFonts w:asciiTheme="majorHAnsi" w:eastAsia="Times New Roman" w:hAnsiTheme="majorHAnsi" w:cs="Times New Roman"/>
          <w:kern w:val="0"/>
          <w:sz w:val="19"/>
          <w:szCs w:val="19"/>
        </w:rPr>
      </w:pPr>
      <w:r w:rsidRPr="00C65F05">
        <w:rPr>
          <w:rFonts w:asciiTheme="majorHAnsi" w:eastAsia="Times New Roman" w:hAnsiTheme="majorHAnsi" w:cs="Times New Roman"/>
          <w:kern w:val="0"/>
          <w:sz w:val="19"/>
          <w:szCs w:val="19"/>
        </w:rPr>
        <w:t xml:space="preserve">Börner, Katy. 2010. </w:t>
      </w:r>
      <w:hyperlink r:id="rId14" w:tgtFrame="_blank" w:history="1">
        <w:r w:rsidRPr="00C65F05">
          <w:rPr>
            <w:rFonts w:asciiTheme="majorHAnsi" w:eastAsia="Times New Roman" w:hAnsiTheme="majorHAnsi" w:cs="Times New Roman"/>
            <w:i/>
            <w:iCs/>
            <w:color w:val="0000FF"/>
            <w:kern w:val="0"/>
            <w:sz w:val="19"/>
            <w:szCs w:val="19"/>
            <w:u w:val="single"/>
          </w:rPr>
          <w:t>Atlas of Science: Visualizing What We Know</w:t>
        </w:r>
      </w:hyperlink>
      <w:r w:rsidRPr="00C65F05">
        <w:rPr>
          <w:rFonts w:asciiTheme="majorHAnsi" w:eastAsia="Times New Roman" w:hAnsiTheme="majorHAnsi" w:cs="Times New Roman"/>
          <w:kern w:val="0"/>
          <w:sz w:val="19"/>
          <w:szCs w:val="19"/>
        </w:rPr>
        <w:t>. The MIT Press.</w:t>
      </w:r>
    </w:p>
    <w:p w:rsidR="00423AED" w:rsidRPr="00C65F05" w:rsidRDefault="00C65F05" w:rsidP="00C65F05">
      <w:pPr>
        <w:spacing w:before="100" w:beforeAutospacing="1" w:after="100" w:afterAutospacing="1"/>
      </w:pPr>
      <w:r w:rsidRPr="00C65F05">
        <w:rPr>
          <w:rFonts w:asciiTheme="majorHAnsi" w:eastAsia="Times New Roman" w:hAnsiTheme="majorHAnsi" w:cs="Times New Roman"/>
          <w:kern w:val="0"/>
          <w:sz w:val="19"/>
          <w:szCs w:val="19"/>
        </w:rPr>
        <w:t>-----------------</w:t>
      </w:r>
    </w:p>
    <w:sectPr w:rsidR="00423AED" w:rsidRPr="00C65F05" w:rsidSect="00C65F05">
      <w:pgSz w:w="12240" w:h="15840"/>
      <w:pgMar w:top="54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1673"/>
    <w:multiLevelType w:val="multilevel"/>
    <w:tmpl w:val="D250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05"/>
    <w:rsid w:val="00065D2B"/>
    <w:rsid w:val="00423AED"/>
    <w:rsid w:val="004D2925"/>
    <w:rsid w:val="006912E0"/>
    <w:rsid w:val="007368D5"/>
    <w:rsid w:val="007472C8"/>
    <w:rsid w:val="007704C5"/>
    <w:rsid w:val="00C65F05"/>
    <w:rsid w:val="00D6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48F44-A56E-47E6-840D-14996088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Mangal"/>
        <w:kern w:val="3"/>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05"/>
    <w:pPr>
      <w:spacing w:before="100" w:beforeAutospacing="1" w:after="100" w:afterAutospacing="1"/>
    </w:pPr>
    <w:rPr>
      <w:rFonts w:eastAsia="Times New Roman" w:cs="Times New Roman"/>
      <w:kern w:val="0"/>
    </w:rPr>
  </w:style>
  <w:style w:type="character" w:styleId="Hyperlink">
    <w:name w:val="Hyperlink"/>
    <w:basedOn w:val="DefaultParagraphFont"/>
    <w:uiPriority w:val="99"/>
    <w:semiHidden/>
    <w:unhideWhenUsed/>
    <w:rsid w:val="00C65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c.indiana.edu/" TargetMode="External"/><Relationship Id="rId13" Type="http://schemas.openxmlformats.org/officeDocument/2006/relationships/hyperlink" Target="http://cns.iu.edu/ivmoocbook14.html" TargetMode="External"/><Relationship Id="rId3" Type="http://schemas.openxmlformats.org/officeDocument/2006/relationships/settings" Target="settings.xml"/><Relationship Id="rId7" Type="http://schemas.openxmlformats.org/officeDocument/2006/relationships/hyperlink" Target="http://ils.indiana.edu" TargetMode="External"/><Relationship Id="rId12" Type="http://schemas.openxmlformats.org/officeDocument/2006/relationships/hyperlink" Target="http://scimaps.org/atlas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dsti.cns.iu.edu/wp-content/uploads/2016/09/ModSTI-Conference-Report.pdf" TargetMode="External"/><Relationship Id="rId11" Type="http://schemas.openxmlformats.org/officeDocument/2006/relationships/hyperlink" Target="http://scimaps.org/" TargetMode="External"/><Relationship Id="rId5" Type="http://schemas.openxmlformats.org/officeDocument/2006/relationships/hyperlink" Target="http://modsti.cns.iu.edu" TargetMode="External"/><Relationship Id="rId15" Type="http://schemas.openxmlformats.org/officeDocument/2006/relationships/fontTable" Target="fontTable.xml"/><Relationship Id="rId10" Type="http://schemas.openxmlformats.org/officeDocument/2006/relationships/hyperlink" Target="http://cns.iu.edu" TargetMode="External"/><Relationship Id="rId4" Type="http://schemas.openxmlformats.org/officeDocument/2006/relationships/webSettings" Target="webSettings.xml"/><Relationship Id="rId9" Type="http://schemas.openxmlformats.org/officeDocument/2006/relationships/hyperlink" Target="http://www.cogs.indiana.edu/" TargetMode="External"/><Relationship Id="rId14" Type="http://schemas.openxmlformats.org/officeDocument/2006/relationships/hyperlink" Target="http://scimaps.org/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2016-09-12T15:25:00Z</dcterms:created>
  <dcterms:modified xsi:type="dcterms:W3CDTF">2016-09-12T15:30:00Z</dcterms:modified>
</cp:coreProperties>
</file>